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7A5049FF">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CC2AFB">
            <w:rPr>
              <w:rFonts w:ascii="Calibri" w:hAnsi="Calibri" w:cs="Calibri"/>
              <w:sz w:val="22"/>
              <w:szCs w:val="22"/>
            </w:rPr>
            <w:t>Remote Symphony</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00CF1CB5" w14:paraId="057CE8DA" w14:textId="77777777">
        <w:tc>
          <w:tcPr>
            <w:tcW w:w="8275" w:type="dxa"/>
            <w:shd w:val="clear" w:color="auto" w:fill="B8CCE4" w:themeFill="accent1" w:themeFillTint="66"/>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00CF1CB5" w14:paraId="3D4D054A" w14:textId="77777777">
        <w:tc>
          <w:tcPr>
            <w:tcW w:w="8275" w:type="dxa"/>
          </w:tcPr>
          <w:p w:rsidRPr="009A7212" w:rsidR="007020F5" w:rsidP="00BC7CD8" w:rsidRDefault="007020F5" w14:paraId="23FDB62F" w14:textId="77777777">
            <w:pPr>
              <w:rPr>
                <w:rFonts w:ascii="Arial" w:hAnsi="Arial" w:cs="Arial"/>
              </w:rPr>
            </w:pPr>
          </w:p>
        </w:tc>
        <w:tc>
          <w:tcPr>
            <w:tcW w:w="1890" w:type="dxa"/>
          </w:tcPr>
          <w:p w:rsidRPr="009A7212" w:rsidR="007020F5" w:rsidP="00867449" w:rsidRDefault="007020F5" w14:paraId="5742EB62" w14:textId="77777777">
            <w:pPr>
              <w:rPr>
                <w:rFonts w:ascii="Arial" w:hAnsi="Arial" w:cs="Arial"/>
              </w:rPr>
            </w:pPr>
          </w:p>
        </w:tc>
      </w:tr>
      <w:tr w:rsidRPr="009A7212" w:rsidR="00AF4993" w:rsidTr="00CF1CB5" w14:paraId="752DABDF" w14:textId="77777777">
        <w:tc>
          <w:tcPr>
            <w:tcW w:w="8275" w:type="dxa"/>
          </w:tcPr>
          <w:p w:rsidRPr="009A7212" w:rsidR="00AF4993" w:rsidP="00BC7CD8" w:rsidRDefault="00AF4993" w14:paraId="4ED0B6EE" w14:textId="77777777">
            <w:pPr>
              <w:rPr>
                <w:rFonts w:ascii="Arial" w:hAnsi="Arial" w:cs="Arial"/>
              </w:rPr>
            </w:pPr>
          </w:p>
        </w:tc>
        <w:tc>
          <w:tcPr>
            <w:tcW w:w="1890" w:type="dxa"/>
          </w:tcPr>
          <w:p w:rsidRPr="009A7212" w:rsidR="00AF4993" w:rsidP="00867449" w:rsidRDefault="00AF4993" w14:paraId="3806BA81" w14:textId="77777777">
            <w:pPr>
              <w:rPr>
                <w:rFonts w:ascii="Arial" w:hAnsi="Arial" w:cs="Arial"/>
              </w:rPr>
            </w:pPr>
          </w:p>
        </w:tc>
      </w:tr>
      <w:tr w:rsidRPr="009A7212" w:rsidR="00AF4993" w:rsidTr="00CF1CB5" w14:paraId="0E1B86D3" w14:textId="77777777">
        <w:tc>
          <w:tcPr>
            <w:tcW w:w="8275" w:type="dxa"/>
          </w:tcPr>
          <w:p w:rsidRPr="009A7212" w:rsidR="00AF4993" w:rsidP="004B59FE" w:rsidRDefault="00AF4993" w14:paraId="74276F03" w14:textId="77777777">
            <w:pPr>
              <w:rPr>
                <w:rFonts w:ascii="Arial" w:hAnsi="Arial" w:cs="Arial"/>
                <w:color w:val="000000" w:themeColor="text1"/>
              </w:rPr>
            </w:pPr>
          </w:p>
        </w:tc>
        <w:tc>
          <w:tcPr>
            <w:tcW w:w="1890" w:type="dxa"/>
          </w:tcPr>
          <w:p w:rsidRPr="009A7212" w:rsidR="00AF4993" w:rsidP="00867449" w:rsidRDefault="00AF4993" w14:paraId="27DAC099" w14:textId="77777777">
            <w:pPr>
              <w:rPr>
                <w:rFonts w:ascii="Arial" w:hAnsi="Arial" w:cs="Arial"/>
                <w:color w:val="000000" w:themeColor="text1"/>
              </w:rPr>
            </w:pPr>
          </w:p>
        </w:tc>
      </w:tr>
      <w:tr w:rsidRPr="009A7212" w:rsidR="00AF4993" w:rsidTr="00CF1CB5" w14:paraId="3224BF17" w14:textId="77777777">
        <w:tc>
          <w:tcPr>
            <w:tcW w:w="8275" w:type="dxa"/>
          </w:tcPr>
          <w:p w:rsidRPr="009A7212" w:rsidR="00AF4993" w:rsidP="004B59FE" w:rsidRDefault="00AF4993" w14:paraId="51100CF1" w14:textId="77777777">
            <w:pPr>
              <w:rPr>
                <w:rFonts w:ascii="Arial" w:hAnsi="Arial" w:cs="Arial"/>
                <w:color w:val="000000" w:themeColor="text1"/>
              </w:rPr>
            </w:pPr>
          </w:p>
        </w:tc>
        <w:tc>
          <w:tcPr>
            <w:tcW w:w="1890" w:type="dxa"/>
          </w:tcPr>
          <w:p w:rsidRPr="009A7212" w:rsidR="00AF4993" w:rsidP="00867449" w:rsidRDefault="00AF4993" w14:paraId="6FCD4D8B" w14:textId="77777777">
            <w:pPr>
              <w:rPr>
                <w:rFonts w:ascii="Arial" w:hAnsi="Arial" w:cs="Arial"/>
                <w:color w:val="000000" w:themeColor="text1"/>
              </w:rPr>
            </w:pPr>
          </w:p>
        </w:tc>
      </w:tr>
      <w:tr w:rsidRPr="009A7212" w:rsidR="00AF4993" w:rsidTr="00CF1CB5" w14:paraId="7D01008E" w14:textId="77777777">
        <w:tc>
          <w:tcPr>
            <w:tcW w:w="8275" w:type="dxa"/>
          </w:tcPr>
          <w:p w:rsidRPr="009A7212" w:rsidR="00AF4993" w:rsidP="004B59FE" w:rsidRDefault="00AF4993" w14:paraId="46C396EB" w14:textId="77777777">
            <w:pPr>
              <w:rPr>
                <w:rFonts w:ascii="Arial" w:hAnsi="Arial" w:cs="Arial"/>
                <w:color w:val="000000" w:themeColor="text1"/>
              </w:rPr>
            </w:pPr>
          </w:p>
        </w:tc>
        <w:tc>
          <w:tcPr>
            <w:tcW w:w="1890" w:type="dxa"/>
          </w:tcPr>
          <w:p w:rsidRPr="009A7212" w:rsidR="00AF4993" w:rsidP="00867449" w:rsidRDefault="00AF4993" w14:paraId="58818CBC" w14:textId="77777777">
            <w:pPr>
              <w:rPr>
                <w:rFonts w:ascii="Arial" w:hAnsi="Arial" w:cs="Arial"/>
                <w:color w:val="000000" w:themeColor="text1"/>
              </w:rPr>
            </w:pPr>
          </w:p>
        </w:tc>
      </w:tr>
      <w:tr w:rsidRPr="009A7212" w:rsidR="00AF4993" w:rsidTr="00CF1CB5" w14:paraId="39BD309C" w14:textId="77777777">
        <w:tc>
          <w:tcPr>
            <w:tcW w:w="8275" w:type="dxa"/>
          </w:tcPr>
          <w:p w:rsidRPr="009A7212" w:rsidR="00AF4993" w:rsidP="004B59FE" w:rsidRDefault="00AF4993" w14:paraId="2A7F35E2" w14:textId="77777777">
            <w:pPr>
              <w:rPr>
                <w:rFonts w:ascii="Arial" w:hAnsi="Arial" w:cs="Arial"/>
                <w:color w:val="000000" w:themeColor="text1"/>
              </w:rPr>
            </w:pPr>
          </w:p>
        </w:tc>
        <w:tc>
          <w:tcPr>
            <w:tcW w:w="1890" w:type="dxa"/>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00CF1CB5" w14:paraId="1EC06677" w14:textId="77777777">
        <w:trPr>
          <w:tblHeader/>
        </w:trPr>
        <w:tc>
          <w:tcPr>
            <w:tcW w:w="8275" w:type="dxa"/>
            <w:shd w:val="clear" w:color="auto" w:fill="B8CCE4" w:themeFill="accent1" w:themeFillTint="66"/>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00CF1CB5" w14:paraId="6407ECFE" w14:textId="77777777">
        <w:tc>
          <w:tcPr>
            <w:tcW w:w="8275" w:type="dxa"/>
          </w:tcPr>
          <w:p w:rsidRPr="009A7212" w:rsidR="00AF4993" w:rsidP="005010FA" w:rsidRDefault="00AF4993" w14:paraId="5627A517" w14:textId="77777777">
            <w:pPr>
              <w:rPr>
                <w:rFonts w:ascii="Arial" w:hAnsi="Arial" w:cs="Arial"/>
              </w:rPr>
            </w:pPr>
          </w:p>
        </w:tc>
        <w:tc>
          <w:tcPr>
            <w:tcW w:w="1890" w:type="dxa"/>
          </w:tcPr>
          <w:p w:rsidRPr="009A7212" w:rsidR="00AF4993" w:rsidP="00867449" w:rsidRDefault="00AF4993" w14:paraId="49F55698" w14:textId="77777777">
            <w:pPr>
              <w:rPr>
                <w:rFonts w:ascii="Arial" w:hAnsi="Arial" w:cs="Arial"/>
              </w:rPr>
            </w:pPr>
          </w:p>
        </w:tc>
      </w:tr>
      <w:tr w:rsidRPr="009A7212" w:rsidR="00AF4993" w:rsidTr="00CF1CB5" w14:paraId="6367949B" w14:textId="77777777">
        <w:tc>
          <w:tcPr>
            <w:tcW w:w="8275" w:type="dxa"/>
          </w:tcPr>
          <w:p w:rsidRPr="009A7212" w:rsidR="00AF4993" w:rsidP="005010FA" w:rsidRDefault="00AF4993" w14:paraId="1F1BBC12" w14:textId="77777777">
            <w:pPr>
              <w:rPr>
                <w:rFonts w:ascii="Arial" w:hAnsi="Arial" w:cs="Arial"/>
              </w:rPr>
            </w:pPr>
          </w:p>
        </w:tc>
        <w:tc>
          <w:tcPr>
            <w:tcW w:w="1890" w:type="dxa"/>
          </w:tcPr>
          <w:p w:rsidRPr="009A7212" w:rsidR="00AF4993" w:rsidP="00867449" w:rsidRDefault="00AF4993" w14:paraId="060AB252" w14:textId="77777777">
            <w:pPr>
              <w:rPr>
                <w:rFonts w:ascii="Arial" w:hAnsi="Arial" w:cs="Arial"/>
              </w:rPr>
            </w:pPr>
          </w:p>
        </w:tc>
      </w:tr>
      <w:tr w:rsidRPr="009A7212" w:rsidR="00AF4993" w:rsidTr="00CF1CB5" w14:paraId="19B29D71" w14:textId="77777777">
        <w:trPr>
          <w:trHeight w:val="125"/>
        </w:trPr>
        <w:tc>
          <w:tcPr>
            <w:tcW w:w="8275" w:type="dxa"/>
          </w:tcPr>
          <w:p w:rsidRPr="009A7212" w:rsidR="00AF4993" w:rsidP="005010FA" w:rsidRDefault="00AF4993" w14:paraId="17BCED94" w14:textId="77777777">
            <w:pPr>
              <w:rPr>
                <w:rFonts w:ascii="Arial" w:hAnsi="Arial" w:cs="Arial"/>
              </w:rPr>
            </w:pPr>
          </w:p>
        </w:tc>
        <w:tc>
          <w:tcPr>
            <w:tcW w:w="1890" w:type="dxa"/>
          </w:tcPr>
          <w:p w:rsidRPr="009A7212" w:rsidR="00AF4993" w:rsidP="00867449" w:rsidRDefault="00AF4993" w14:paraId="45F3167D" w14:textId="77777777">
            <w:pPr>
              <w:rPr>
                <w:rFonts w:ascii="Arial" w:hAnsi="Arial" w:cs="Arial"/>
              </w:rPr>
            </w:pPr>
          </w:p>
        </w:tc>
      </w:tr>
      <w:tr w:rsidRPr="009A7212" w:rsidR="00AF4993" w:rsidTr="00CF1CB5" w14:paraId="77FEB780" w14:textId="77777777">
        <w:tc>
          <w:tcPr>
            <w:tcW w:w="8275" w:type="dxa"/>
          </w:tcPr>
          <w:p w:rsidRPr="009A7212" w:rsidR="00AF4993" w:rsidP="005010FA" w:rsidRDefault="00AF4993" w14:paraId="744EBE55" w14:textId="77777777">
            <w:pPr>
              <w:rPr>
                <w:rFonts w:ascii="Arial" w:hAnsi="Arial" w:cs="Arial"/>
              </w:rPr>
            </w:pPr>
          </w:p>
        </w:tc>
        <w:tc>
          <w:tcPr>
            <w:tcW w:w="1890" w:type="dxa"/>
          </w:tcPr>
          <w:p w:rsidRPr="009A7212" w:rsidR="00AF4993" w:rsidP="00867449" w:rsidRDefault="00AF4993" w14:paraId="0BE8AB42" w14:textId="77777777">
            <w:pPr>
              <w:rPr>
                <w:rFonts w:ascii="Arial" w:hAnsi="Arial" w:cs="Arial"/>
              </w:rPr>
            </w:pPr>
          </w:p>
        </w:tc>
      </w:tr>
      <w:tr w:rsidRPr="009A7212" w:rsidR="006C1A4B" w:rsidTr="00CF1CB5" w14:paraId="2C79CEB5" w14:textId="77777777">
        <w:tc>
          <w:tcPr>
            <w:tcW w:w="8275" w:type="dxa"/>
          </w:tcPr>
          <w:p w:rsidRPr="009A7212" w:rsidR="006C1A4B" w:rsidP="005010FA" w:rsidRDefault="006C1A4B" w14:paraId="01D29002" w14:textId="77777777">
            <w:pPr>
              <w:rPr>
                <w:rFonts w:ascii="Arial" w:hAnsi="Arial" w:cs="Arial"/>
              </w:rPr>
            </w:pPr>
          </w:p>
        </w:tc>
        <w:tc>
          <w:tcPr>
            <w:tcW w:w="1890" w:type="dxa"/>
          </w:tcPr>
          <w:p w:rsidRPr="009A7212" w:rsidR="006C1A4B" w:rsidP="00867449" w:rsidRDefault="006C1A4B" w14:paraId="05EB3C6D" w14:textId="77777777">
            <w:pPr>
              <w:rPr>
                <w:rFonts w:ascii="Arial" w:hAnsi="Arial" w:cs="Arial"/>
              </w:rPr>
            </w:pPr>
          </w:p>
        </w:tc>
      </w:tr>
      <w:tr w:rsidRPr="009A7212" w:rsidR="00AF4993" w:rsidTr="00CF1CB5" w14:paraId="7E0026E0" w14:textId="77777777">
        <w:tc>
          <w:tcPr>
            <w:tcW w:w="8275" w:type="dxa"/>
          </w:tcPr>
          <w:p w:rsidRPr="009A7212" w:rsidR="00AF4993" w:rsidP="005010FA" w:rsidRDefault="00AF4993" w14:paraId="57FBCD8F" w14:textId="77777777">
            <w:pPr>
              <w:rPr>
                <w:rFonts w:ascii="Arial" w:hAnsi="Arial" w:cs="Arial"/>
              </w:rPr>
            </w:pPr>
          </w:p>
        </w:tc>
        <w:tc>
          <w:tcPr>
            <w:tcW w:w="1890" w:type="dxa"/>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04A3CF0" w14:paraId="51FCEED0" w14:textId="77777777">
        <w:trPr>
          <w:tblHeader/>
        </w:trPr>
        <w:tc>
          <w:tcPr>
            <w:tcW w:w="8275" w:type="dxa"/>
            <w:shd w:val="clear" w:color="auto" w:fill="B8CCE4" w:themeFill="accent1" w:themeFillTint="66"/>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04A3CF0" w14:paraId="6A5811DF" w14:textId="77777777">
        <w:tc>
          <w:tcPr>
            <w:tcW w:w="8275" w:type="dxa"/>
          </w:tcPr>
          <w:p w:rsidRPr="009A7212" w:rsidR="001425A1" w:rsidP="004A3CF0" w:rsidRDefault="001425A1" w14:paraId="6F628BCF" w14:textId="77777777">
            <w:pPr>
              <w:rPr>
                <w:rFonts w:ascii="Arial" w:hAnsi="Arial" w:cs="Arial"/>
              </w:rPr>
            </w:pPr>
          </w:p>
        </w:tc>
        <w:tc>
          <w:tcPr>
            <w:tcW w:w="1890" w:type="dxa"/>
          </w:tcPr>
          <w:p w:rsidRPr="009A7212" w:rsidR="001425A1" w:rsidP="004A3CF0" w:rsidRDefault="001425A1" w14:paraId="329A73C5" w14:textId="77777777">
            <w:pPr>
              <w:rPr>
                <w:rFonts w:ascii="Arial" w:hAnsi="Arial" w:cs="Arial"/>
              </w:rPr>
            </w:pPr>
          </w:p>
        </w:tc>
      </w:tr>
      <w:tr w:rsidRPr="009A7212" w:rsidR="001425A1" w:rsidTr="004A3CF0" w14:paraId="47F16413" w14:textId="77777777">
        <w:tc>
          <w:tcPr>
            <w:tcW w:w="8275" w:type="dxa"/>
          </w:tcPr>
          <w:p w:rsidRPr="009A7212" w:rsidR="001425A1" w:rsidP="004A3CF0" w:rsidRDefault="001425A1" w14:paraId="4FB298E3" w14:textId="77777777">
            <w:pPr>
              <w:rPr>
                <w:rFonts w:ascii="Arial" w:hAnsi="Arial" w:cs="Arial"/>
              </w:rPr>
            </w:pPr>
          </w:p>
        </w:tc>
        <w:tc>
          <w:tcPr>
            <w:tcW w:w="1890" w:type="dxa"/>
          </w:tcPr>
          <w:p w:rsidRPr="009A7212" w:rsidR="001425A1" w:rsidP="004A3CF0" w:rsidRDefault="001425A1" w14:paraId="11A0267E" w14:textId="77777777">
            <w:pPr>
              <w:rPr>
                <w:rFonts w:ascii="Arial" w:hAnsi="Arial" w:cs="Arial"/>
              </w:rPr>
            </w:pPr>
          </w:p>
        </w:tc>
      </w:tr>
      <w:tr w:rsidRPr="009A7212" w:rsidR="001425A1" w:rsidTr="004A3CF0" w14:paraId="45759E15" w14:textId="77777777">
        <w:trPr>
          <w:trHeight w:val="125"/>
        </w:trPr>
        <w:tc>
          <w:tcPr>
            <w:tcW w:w="8275" w:type="dxa"/>
          </w:tcPr>
          <w:p w:rsidRPr="009A7212" w:rsidR="001425A1" w:rsidP="004A3CF0" w:rsidRDefault="001425A1" w14:paraId="1298FE81" w14:textId="77777777">
            <w:pPr>
              <w:rPr>
                <w:rFonts w:ascii="Arial" w:hAnsi="Arial" w:cs="Arial"/>
              </w:rPr>
            </w:pPr>
          </w:p>
        </w:tc>
        <w:tc>
          <w:tcPr>
            <w:tcW w:w="1890" w:type="dxa"/>
          </w:tcPr>
          <w:p w:rsidRPr="009A7212" w:rsidR="001425A1" w:rsidP="004A3CF0" w:rsidRDefault="001425A1" w14:paraId="126846ED" w14:textId="77777777">
            <w:pPr>
              <w:rPr>
                <w:rFonts w:ascii="Arial" w:hAnsi="Arial" w:cs="Arial"/>
              </w:rPr>
            </w:pPr>
          </w:p>
        </w:tc>
      </w:tr>
      <w:tr w:rsidRPr="009A7212" w:rsidR="001425A1" w:rsidTr="004A3CF0" w14:paraId="2D2DFB32" w14:textId="77777777">
        <w:tc>
          <w:tcPr>
            <w:tcW w:w="8275" w:type="dxa"/>
          </w:tcPr>
          <w:p w:rsidRPr="009A7212" w:rsidR="001425A1" w:rsidP="004A3CF0" w:rsidRDefault="001425A1" w14:paraId="4C3E5702" w14:textId="77777777">
            <w:pPr>
              <w:rPr>
                <w:rFonts w:ascii="Arial" w:hAnsi="Arial" w:cs="Arial"/>
              </w:rPr>
            </w:pPr>
          </w:p>
        </w:tc>
        <w:tc>
          <w:tcPr>
            <w:tcW w:w="1890" w:type="dxa"/>
          </w:tcPr>
          <w:p w:rsidRPr="009A7212" w:rsidR="001425A1" w:rsidP="004A3CF0" w:rsidRDefault="001425A1" w14:paraId="0E9CB73B" w14:textId="77777777">
            <w:pPr>
              <w:rPr>
                <w:rFonts w:ascii="Arial" w:hAnsi="Arial" w:cs="Arial"/>
              </w:rPr>
            </w:pPr>
          </w:p>
        </w:tc>
      </w:tr>
      <w:tr w:rsidRPr="009A7212" w:rsidR="001425A1" w:rsidTr="004A3CF0" w14:paraId="201B9428" w14:textId="77777777">
        <w:tc>
          <w:tcPr>
            <w:tcW w:w="8275" w:type="dxa"/>
          </w:tcPr>
          <w:p w:rsidRPr="009A7212" w:rsidR="001425A1" w:rsidP="004A3CF0" w:rsidRDefault="001425A1" w14:paraId="580A7FCF" w14:textId="77777777">
            <w:pPr>
              <w:rPr>
                <w:rFonts w:ascii="Arial" w:hAnsi="Arial" w:cs="Arial"/>
              </w:rPr>
            </w:pPr>
          </w:p>
        </w:tc>
        <w:tc>
          <w:tcPr>
            <w:tcW w:w="1890" w:type="dxa"/>
          </w:tcPr>
          <w:p w:rsidRPr="009A7212" w:rsidR="001425A1" w:rsidP="004A3CF0" w:rsidRDefault="001425A1" w14:paraId="25D60F74" w14:textId="77777777">
            <w:pPr>
              <w:rPr>
                <w:rFonts w:ascii="Arial" w:hAnsi="Arial" w:cs="Arial"/>
              </w:rPr>
            </w:pPr>
          </w:p>
        </w:tc>
      </w:tr>
      <w:tr w:rsidRPr="009A7212" w:rsidR="001425A1" w:rsidTr="004A3CF0" w14:paraId="779495E9" w14:textId="77777777">
        <w:tc>
          <w:tcPr>
            <w:tcW w:w="8275" w:type="dxa"/>
          </w:tcPr>
          <w:p w:rsidRPr="009A7212" w:rsidR="001425A1" w:rsidP="004A3CF0" w:rsidRDefault="001425A1" w14:paraId="5D0F9327" w14:textId="77777777">
            <w:pPr>
              <w:rPr>
                <w:rFonts w:ascii="Arial" w:hAnsi="Arial" w:cs="Arial"/>
              </w:rPr>
            </w:pPr>
          </w:p>
        </w:tc>
        <w:tc>
          <w:tcPr>
            <w:tcW w:w="1890" w:type="dxa"/>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71E0A1C9">
      <w:pPr>
        <w:pStyle w:val="Default"/>
        <w:rPr>
          <w:b/>
          <w:bCs/>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00757713" w:rsidP="00757713" w:rsidRDefault="00757713" w14:paraId="6A88448E" w14:textId="415F6B33">
      <w:pPr>
        <w:pStyle w:val="Default"/>
        <w:rPr>
          <w:b/>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A5283D" w:rsidP="00757713" w:rsidRDefault="00A5283D" w14:paraId="04A04BB0" w14:textId="14844F58">
      <w:pPr>
        <w:pStyle w:val="Default"/>
        <w:rPr>
          <w:b/>
          <w:color w:val="000000" w:themeColor="text1"/>
        </w:rPr>
      </w:pPr>
    </w:p>
    <w:p w:rsidRPr="009A7212" w:rsidR="00A5283D" w:rsidP="00757713" w:rsidRDefault="00A5283D" w14:paraId="32E4A37C" w14:textId="50F4D543">
      <w:pPr>
        <w:pStyle w:val="Default"/>
        <w:rPr>
          <w:color w:val="000000" w:themeColor="text1"/>
        </w:rPr>
      </w:pPr>
      <w:r w:rsidRPr="008B7D7A">
        <w:rPr>
          <w:b/>
          <w:sz w:val="22"/>
          <w:szCs w:val="22"/>
        </w:rPr>
        <w:t>Section</w:t>
      </w:r>
      <w:r>
        <w:rPr>
          <w:sz w:val="22"/>
          <w:szCs w:val="22"/>
        </w:rPr>
        <w:t xml:space="preserve"> </w:t>
      </w:r>
      <w:r w:rsidRPr="00875D83">
        <w:rPr>
          <w:b/>
          <w:sz w:val="22"/>
          <w:szCs w:val="22"/>
        </w:rPr>
        <w:t>7.2. Financial Health of Vendor (Page. 34 of RFP)</w:t>
      </w:r>
      <w:r w:rsidR="00CC2AFB">
        <w:rPr>
          <w:b/>
          <w:sz w:val="22"/>
          <w:szCs w:val="22"/>
        </w:rPr>
        <w:t xml:space="preserve"> </w:t>
      </w:r>
      <w:r w:rsidR="00CC2AFB">
        <w:rPr>
          <w:b/>
          <w:bCs/>
          <w:sz w:val="22"/>
          <w:szCs w:val="22"/>
          <w:highlight w:val="yellow"/>
        </w:rPr>
        <w:t>(See Pages.1</w:t>
      </w:r>
      <w:r w:rsidR="00CC2AFB">
        <w:rPr>
          <w:b/>
          <w:bCs/>
          <w:sz w:val="22"/>
          <w:szCs w:val="22"/>
          <w:highlight w:val="yellow"/>
        </w:rPr>
        <w:t>38</w:t>
      </w:r>
      <w:r w:rsidR="00CC2AFB">
        <w:rPr>
          <w:b/>
          <w:bCs/>
          <w:sz w:val="22"/>
          <w:szCs w:val="22"/>
          <w:highlight w:val="yellow"/>
        </w:rPr>
        <w:t xml:space="preserve"> -</w:t>
      </w:r>
      <w:r w:rsidR="00CC2AFB">
        <w:rPr>
          <w:b/>
          <w:bCs/>
          <w:sz w:val="22"/>
          <w:szCs w:val="22"/>
          <w:highlight w:val="yellow"/>
        </w:rPr>
        <w:t>139</w:t>
      </w:r>
      <w:r w:rsidR="00CC2AFB">
        <w:rPr>
          <w:b/>
          <w:bCs/>
          <w:sz w:val="22"/>
          <w:szCs w:val="22"/>
          <w:highlight w:val="yellow"/>
        </w:rPr>
        <w:t xml:space="preserve"> of vendor response)</w:t>
      </w:r>
      <w:r w:rsidRPr="00875D83">
        <w:rPr>
          <w:sz w:val="22"/>
          <w:szCs w:val="22"/>
        </w:rPr>
        <w:t xml:space="preserve"> – AJ Fluker, Lisa Allnutt, JoAnn Martin</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2176B3DD" w14:paraId="396D12CC" w14:textId="77777777">
        <w:tc>
          <w:tcPr>
            <w:tcW w:w="8275" w:type="dxa"/>
            <w:shd w:val="clear" w:color="auto" w:fill="B8CCE4" w:themeFill="accent1" w:themeFillTint="66"/>
            <w:tcMar/>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2176B3DD" w14:paraId="0A8AC658" w14:textId="77777777">
        <w:tc>
          <w:tcPr>
            <w:tcW w:w="8275" w:type="dxa"/>
            <w:tcMar/>
          </w:tcPr>
          <w:p w:rsidR="2176B3DD" w:rsidRDefault="2176B3DD" w14:paraId="720390DB" w14:textId="4806DD44">
            <w:r w:rsidRPr="2176B3DD" w:rsidR="2176B3DD">
              <w:rPr>
                <w:rFonts w:ascii="Arial" w:hAnsi="Arial" w:eastAsia="Arial" w:cs="Arial"/>
                <w:sz w:val="24"/>
                <w:szCs w:val="24"/>
              </w:rPr>
              <w:t xml:space="preserve">For the two years calculated, the current ratio (a liquidity measure) </w:t>
            </w:r>
            <w:r w:rsidRPr="2176B3DD" w:rsidR="2176B3DD">
              <w:rPr>
                <w:rFonts w:ascii="Arial" w:hAnsi="Arial" w:eastAsia="Arial" w:cs="Arial"/>
                <w:color w:val="000000" w:themeColor="text1" w:themeTint="FF" w:themeShade="FF"/>
                <w:sz w:val="24"/>
                <w:szCs w:val="24"/>
              </w:rPr>
              <w:t>exceede</w:t>
            </w:r>
            <w:r w:rsidRPr="2176B3DD" w:rsidR="2176B3DD">
              <w:rPr>
                <w:rFonts w:ascii="Arial" w:hAnsi="Arial" w:eastAsia="Arial" w:cs="Arial"/>
                <w:sz w:val="24"/>
                <w:szCs w:val="24"/>
              </w:rPr>
              <w:t>d</w:t>
            </w:r>
            <w:r w:rsidRPr="2176B3DD" w:rsidR="2176B3DD">
              <w:rPr>
                <w:rFonts w:ascii="Arial" w:hAnsi="Arial" w:eastAsia="Arial" w:cs="Arial"/>
                <w:color w:val="000000" w:themeColor="text1" w:themeTint="FF" w:themeShade="FF"/>
                <w:sz w:val="24"/>
                <w:szCs w:val="24"/>
              </w:rPr>
              <w:t xml:space="preserve"> target levels (internal*). The most recent year reported, shows a greater than 7 to 1 ratio, which indicates that the business has sufficient assets to cover its short-term liabilities.</w:t>
            </w:r>
          </w:p>
        </w:tc>
        <w:tc>
          <w:tcPr>
            <w:tcW w:w="1890" w:type="dxa"/>
            <w:tcMar/>
          </w:tcPr>
          <w:p w:rsidRPr="009A7212" w:rsidR="00757713" w:rsidP="00FB6859" w:rsidRDefault="00757713" w14:paraId="7786D448" w14:textId="77777777">
            <w:pPr>
              <w:rPr>
                <w:rFonts w:ascii="Arial" w:hAnsi="Arial" w:cs="Arial"/>
              </w:rPr>
            </w:pPr>
          </w:p>
        </w:tc>
      </w:tr>
      <w:tr w:rsidRPr="009A7212" w:rsidR="00757713" w:rsidTr="2176B3DD" w14:paraId="01099DB5" w14:textId="77777777">
        <w:tc>
          <w:tcPr>
            <w:tcW w:w="8275" w:type="dxa"/>
            <w:tcMar/>
          </w:tcPr>
          <w:p w:rsidR="2176B3DD" w:rsidRDefault="2176B3DD" w14:paraId="2197ACD7" w14:textId="4A23633C">
            <w:r w:rsidRPr="2176B3DD" w:rsidR="2176B3DD">
              <w:rPr>
                <w:rFonts w:ascii="Arial" w:hAnsi="Arial" w:eastAsia="Arial" w:cs="Arial"/>
                <w:color w:val="000000" w:themeColor="text1" w:themeTint="FF" w:themeShade="FF"/>
                <w:sz w:val="24"/>
                <w:szCs w:val="24"/>
              </w:rPr>
              <w:t>Revenue growth rate exceeded target levels (internal*) in the two calculated years. Total sales and gross profit increased year to year for each reported year.</w:t>
            </w:r>
          </w:p>
        </w:tc>
        <w:tc>
          <w:tcPr>
            <w:tcW w:w="1890" w:type="dxa"/>
            <w:tcMar/>
          </w:tcPr>
          <w:p w:rsidRPr="009A7212" w:rsidR="00757713" w:rsidP="00FB6859" w:rsidRDefault="00757713" w14:paraId="42603CCF" w14:textId="77777777">
            <w:pPr>
              <w:rPr>
                <w:rFonts w:ascii="Arial" w:hAnsi="Arial" w:cs="Arial"/>
              </w:rPr>
            </w:pPr>
          </w:p>
        </w:tc>
      </w:tr>
      <w:tr w:rsidRPr="009A7212" w:rsidR="00757713" w:rsidTr="2176B3DD" w14:paraId="0F2BAA2C" w14:textId="77777777">
        <w:tc>
          <w:tcPr>
            <w:tcW w:w="8275" w:type="dxa"/>
            <w:tcMar/>
          </w:tcPr>
          <w:p w:rsidR="2176B3DD" w:rsidRDefault="2176B3DD" w14:paraId="6E5758E3" w14:textId="12BFCA11">
            <w:r w:rsidRPr="2176B3DD" w:rsidR="2176B3DD">
              <w:rPr>
                <w:rFonts w:ascii="Arial" w:hAnsi="Arial" w:eastAsia="Arial" w:cs="Arial"/>
                <w:color w:val="000000" w:themeColor="text1" w:themeTint="FF" w:themeShade="FF"/>
                <w:sz w:val="24"/>
                <w:szCs w:val="24"/>
              </w:rPr>
              <w:t>The debt ratio exceeded target levels (internal*) in each reported year.  This is an indicator that the business is at less risk of loan default if interest rates were to rise suddenly.</w:t>
            </w:r>
          </w:p>
        </w:tc>
        <w:tc>
          <w:tcPr>
            <w:tcW w:w="1890" w:type="dxa"/>
            <w:tcMar/>
          </w:tcPr>
          <w:p w:rsidRPr="009A7212" w:rsidR="00757713" w:rsidP="00FB6859" w:rsidRDefault="00757713" w14:paraId="6B329930" w14:textId="77777777">
            <w:pPr>
              <w:rPr>
                <w:rFonts w:ascii="Arial" w:hAnsi="Arial" w:cs="Arial"/>
                <w:color w:val="000000" w:themeColor="text1"/>
              </w:rPr>
            </w:pPr>
          </w:p>
        </w:tc>
      </w:tr>
      <w:tr w:rsidRPr="009A7212" w:rsidR="00757713" w:rsidTr="2176B3DD" w14:paraId="476399A4" w14:textId="77777777">
        <w:tc>
          <w:tcPr>
            <w:tcW w:w="8275" w:type="dxa"/>
            <w:tcMar/>
          </w:tcPr>
          <w:p w:rsidRPr="009A7212" w:rsidR="00757713" w:rsidP="00FB6859" w:rsidRDefault="00757713" w14:paraId="192C0479" w14:textId="77777777">
            <w:pPr>
              <w:rPr>
                <w:rFonts w:ascii="Arial" w:hAnsi="Arial" w:cs="Arial"/>
                <w:color w:val="000000" w:themeColor="text1"/>
              </w:rPr>
            </w:pPr>
          </w:p>
        </w:tc>
        <w:tc>
          <w:tcPr>
            <w:tcW w:w="1890" w:type="dxa"/>
            <w:tcMar/>
          </w:tcPr>
          <w:p w:rsidRPr="009A7212" w:rsidR="00757713" w:rsidP="00FB6859" w:rsidRDefault="00757713" w14:paraId="48B4490F" w14:textId="77777777">
            <w:pPr>
              <w:rPr>
                <w:rFonts w:ascii="Arial" w:hAnsi="Arial" w:cs="Arial"/>
                <w:color w:val="000000" w:themeColor="text1"/>
              </w:rPr>
            </w:pPr>
          </w:p>
        </w:tc>
      </w:tr>
      <w:tr w:rsidRPr="009A7212" w:rsidR="00757713" w:rsidTr="2176B3DD" w14:paraId="314BB67A" w14:textId="77777777">
        <w:tc>
          <w:tcPr>
            <w:tcW w:w="8275" w:type="dxa"/>
            <w:tcMar/>
          </w:tcPr>
          <w:p w:rsidRPr="009A7212" w:rsidR="00757713" w:rsidP="00FB6859" w:rsidRDefault="00757713" w14:paraId="530A1692" w14:textId="77777777">
            <w:pPr>
              <w:rPr>
                <w:rFonts w:ascii="Arial" w:hAnsi="Arial" w:cs="Arial"/>
                <w:color w:val="000000" w:themeColor="text1"/>
              </w:rPr>
            </w:pPr>
          </w:p>
        </w:tc>
        <w:tc>
          <w:tcPr>
            <w:tcW w:w="1890" w:type="dxa"/>
            <w:tcMar/>
          </w:tcPr>
          <w:p w:rsidRPr="009A7212" w:rsidR="00757713" w:rsidP="00FB6859" w:rsidRDefault="00757713" w14:paraId="4510D1C1" w14:textId="77777777">
            <w:pPr>
              <w:rPr>
                <w:rFonts w:ascii="Arial" w:hAnsi="Arial" w:cs="Arial"/>
                <w:color w:val="000000" w:themeColor="text1"/>
              </w:rPr>
            </w:pPr>
          </w:p>
        </w:tc>
      </w:tr>
      <w:tr w:rsidRPr="009A7212" w:rsidR="00757713" w:rsidTr="2176B3DD" w14:paraId="7A9513E4" w14:textId="77777777">
        <w:tc>
          <w:tcPr>
            <w:tcW w:w="8275" w:type="dxa"/>
            <w:tcMar/>
          </w:tcPr>
          <w:p w:rsidRPr="009A7212" w:rsidR="00757713" w:rsidP="00FB6859" w:rsidRDefault="00757713" w14:paraId="40A4263C" w14:textId="77777777">
            <w:pPr>
              <w:rPr>
                <w:rFonts w:ascii="Arial" w:hAnsi="Arial" w:cs="Arial"/>
                <w:color w:val="000000" w:themeColor="text1"/>
              </w:rPr>
            </w:pPr>
          </w:p>
        </w:tc>
        <w:tc>
          <w:tcPr>
            <w:tcW w:w="1890" w:type="dxa"/>
            <w:tcMar/>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2176B3DD" w14:paraId="08D2A10E" w14:textId="77777777">
        <w:trPr>
          <w:tblHeader/>
        </w:trPr>
        <w:tc>
          <w:tcPr>
            <w:tcW w:w="8275" w:type="dxa"/>
            <w:shd w:val="clear" w:color="auto" w:fill="B8CCE4" w:themeFill="accent1" w:themeFillTint="66"/>
            <w:tcMar/>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2176B3DD" w14:paraId="0734B190" w14:textId="77777777">
        <w:tc>
          <w:tcPr>
            <w:tcW w:w="8275" w:type="dxa"/>
            <w:tcMar/>
          </w:tcPr>
          <w:p w:rsidR="2176B3DD" w:rsidRDefault="2176B3DD" w14:paraId="2325947D" w14:textId="15AC625A">
            <w:r w:rsidRPr="2176B3DD" w:rsidR="2176B3DD">
              <w:rPr>
                <w:rFonts w:ascii="Arial" w:hAnsi="Arial" w:eastAsia="Arial" w:cs="Arial"/>
                <w:sz w:val="24"/>
                <w:szCs w:val="24"/>
              </w:rPr>
              <w:t xml:space="preserve">For the two years calculated, the quick ratio (a liquidity measure) </w:t>
            </w:r>
            <w:r w:rsidRPr="2176B3DD" w:rsidR="2176B3DD">
              <w:rPr>
                <w:rFonts w:ascii="Arial" w:hAnsi="Arial" w:eastAsia="Arial" w:cs="Arial"/>
                <w:color w:val="000000" w:themeColor="text1" w:themeTint="FF" w:themeShade="FF"/>
                <w:sz w:val="24"/>
                <w:szCs w:val="24"/>
              </w:rPr>
              <w:t>did not meet target levels (internal*). This measures total liquid assets (cash / cash equivalents) as a percentage of current liabilities.</w:t>
            </w:r>
          </w:p>
        </w:tc>
        <w:tc>
          <w:tcPr>
            <w:tcW w:w="1890" w:type="dxa"/>
            <w:tcMar/>
          </w:tcPr>
          <w:p w:rsidRPr="009A7212" w:rsidR="00757713" w:rsidP="00FB6859" w:rsidRDefault="00757713" w14:paraId="2EC2EE17" w14:textId="77777777">
            <w:pPr>
              <w:rPr>
                <w:rFonts w:ascii="Arial" w:hAnsi="Arial" w:cs="Arial"/>
              </w:rPr>
            </w:pPr>
          </w:p>
        </w:tc>
      </w:tr>
      <w:tr w:rsidRPr="009A7212" w:rsidR="00757713" w:rsidTr="2176B3DD" w14:paraId="3CF48990" w14:textId="77777777">
        <w:tc>
          <w:tcPr>
            <w:tcW w:w="8275" w:type="dxa"/>
            <w:tcMar/>
          </w:tcPr>
          <w:p w:rsidR="2176B3DD" w:rsidRDefault="2176B3DD" w14:paraId="06B589D0" w14:textId="784659A4">
            <w:r w:rsidRPr="2176B3DD" w:rsidR="2176B3DD">
              <w:rPr>
                <w:rFonts w:ascii="Arial" w:hAnsi="Arial" w:eastAsia="Arial" w:cs="Arial"/>
                <w:color w:val="000000" w:themeColor="text1" w:themeTint="FF" w:themeShade="FF"/>
                <w:sz w:val="24"/>
                <w:szCs w:val="24"/>
              </w:rPr>
              <w:t>Profitability indicators (operating profit margin, net profit margin) did not meet target levels (internal*). These are indicators of a company’s ability to generate profits from its operations. However, the business’ return on equity exceeded target levels (internal*).</w:t>
            </w:r>
            <w:r w:rsidRPr="2176B3DD" w:rsidR="2176B3DD">
              <w:rPr>
                <w:rFonts w:ascii="Arial" w:hAnsi="Arial" w:eastAsia="Arial" w:cs="Arial"/>
                <w:sz w:val="24"/>
                <w:szCs w:val="24"/>
              </w:rPr>
              <w:t xml:space="preserve"> This measures how much shareholders earned from investing in the company.</w:t>
            </w:r>
          </w:p>
        </w:tc>
        <w:tc>
          <w:tcPr>
            <w:tcW w:w="1890" w:type="dxa"/>
            <w:tcMar/>
          </w:tcPr>
          <w:p w:rsidRPr="009A7212" w:rsidR="00757713" w:rsidP="00FB6859" w:rsidRDefault="00757713" w14:paraId="2DDE1C68" w14:textId="77777777">
            <w:pPr>
              <w:rPr>
                <w:rFonts w:ascii="Arial" w:hAnsi="Arial" w:cs="Arial"/>
              </w:rPr>
            </w:pPr>
          </w:p>
        </w:tc>
      </w:tr>
      <w:tr w:rsidRPr="009A7212" w:rsidR="00757713" w:rsidTr="2176B3DD" w14:paraId="3DBDFCD7" w14:textId="77777777">
        <w:trPr>
          <w:trHeight w:val="125"/>
        </w:trPr>
        <w:tc>
          <w:tcPr>
            <w:tcW w:w="8275" w:type="dxa"/>
            <w:tcMar/>
          </w:tcPr>
          <w:p w:rsidR="2176B3DD" w:rsidRDefault="2176B3DD" w14:paraId="2B0F17C6" w14:textId="6A7707E5">
            <w:r w:rsidRPr="2176B3DD" w:rsidR="2176B3DD">
              <w:rPr>
                <w:rFonts w:ascii="Arial" w:hAnsi="Arial" w:eastAsia="Arial" w:cs="Arial"/>
                <w:sz w:val="24"/>
                <w:szCs w:val="24"/>
              </w:rPr>
              <w:t xml:space="preserve">The debt-equity ratio </w:t>
            </w:r>
            <w:r w:rsidRPr="2176B3DD" w:rsidR="2176B3DD">
              <w:rPr>
                <w:rFonts w:ascii="Arial" w:hAnsi="Arial" w:eastAsia="Arial" w:cs="Arial"/>
                <w:color w:val="000000" w:themeColor="text1" w:themeTint="FF" w:themeShade="FF"/>
                <w:sz w:val="24"/>
                <w:szCs w:val="24"/>
              </w:rPr>
              <w:t>did not meet target levels (internal*) in one of two years reported (including the most recent year). This is a potential indicator of how quickly a business can pay off its debt.</w:t>
            </w:r>
          </w:p>
        </w:tc>
        <w:tc>
          <w:tcPr>
            <w:tcW w:w="1890" w:type="dxa"/>
            <w:tcMar/>
          </w:tcPr>
          <w:p w:rsidRPr="009A7212" w:rsidR="00757713" w:rsidP="00FB6859" w:rsidRDefault="00757713" w14:paraId="2F1E7011" w14:textId="77777777">
            <w:pPr>
              <w:rPr>
                <w:rFonts w:ascii="Arial" w:hAnsi="Arial" w:cs="Arial"/>
              </w:rPr>
            </w:pPr>
          </w:p>
        </w:tc>
      </w:tr>
      <w:tr w:rsidRPr="009A7212" w:rsidR="00757713" w:rsidTr="2176B3DD" w14:paraId="0D39858D" w14:textId="77777777">
        <w:tc>
          <w:tcPr>
            <w:tcW w:w="8275" w:type="dxa"/>
            <w:tcMar/>
          </w:tcPr>
          <w:p w:rsidR="2176B3DD" w:rsidRDefault="2176B3DD" w14:paraId="3266D8FE" w14:textId="32D62C75">
            <w:r w:rsidRPr="2176B3DD" w:rsidR="2176B3DD">
              <w:rPr>
                <w:rFonts w:ascii="Arial" w:hAnsi="Arial" w:eastAsia="Arial" w:cs="Arial"/>
                <w:sz w:val="24"/>
                <w:szCs w:val="24"/>
              </w:rPr>
              <w:t xml:space="preserve"> </w:t>
            </w:r>
          </w:p>
        </w:tc>
        <w:tc>
          <w:tcPr>
            <w:tcW w:w="1890" w:type="dxa"/>
            <w:tcMar/>
          </w:tcPr>
          <w:p w:rsidRPr="009A7212" w:rsidR="00757713" w:rsidP="00FB6859" w:rsidRDefault="00757713" w14:paraId="6AE5CEC0" w14:textId="77777777">
            <w:pPr>
              <w:rPr>
                <w:rFonts w:ascii="Arial" w:hAnsi="Arial" w:cs="Arial"/>
              </w:rPr>
            </w:pPr>
          </w:p>
        </w:tc>
      </w:tr>
      <w:tr w:rsidRPr="009A7212" w:rsidR="00757713" w:rsidTr="2176B3DD" w14:paraId="3A1E3AE4" w14:textId="77777777">
        <w:tc>
          <w:tcPr>
            <w:tcW w:w="8275" w:type="dxa"/>
            <w:tcMar/>
          </w:tcPr>
          <w:p w:rsidR="2176B3DD" w:rsidRDefault="2176B3DD" w14:paraId="600A8E09" w14:textId="774A85DE">
            <w:r w:rsidRPr="2176B3DD" w:rsidR="2176B3DD">
              <w:rPr>
                <w:rFonts w:ascii="Arial" w:hAnsi="Arial" w:eastAsia="Arial" w:cs="Arial"/>
                <w:sz w:val="24"/>
                <w:szCs w:val="24"/>
              </w:rPr>
              <w:t xml:space="preserve"> </w:t>
            </w:r>
          </w:p>
        </w:tc>
        <w:tc>
          <w:tcPr>
            <w:tcW w:w="1890" w:type="dxa"/>
            <w:tcMar/>
          </w:tcPr>
          <w:p w:rsidRPr="009A7212" w:rsidR="00757713" w:rsidP="00FB6859" w:rsidRDefault="00757713" w14:paraId="13017626" w14:textId="77777777">
            <w:pPr>
              <w:rPr>
                <w:rFonts w:ascii="Arial" w:hAnsi="Arial" w:cs="Arial"/>
              </w:rPr>
            </w:pPr>
          </w:p>
        </w:tc>
      </w:tr>
      <w:tr w:rsidRPr="009A7212" w:rsidR="00757713" w:rsidTr="2176B3DD" w14:paraId="0049B54D" w14:textId="77777777">
        <w:tc>
          <w:tcPr>
            <w:tcW w:w="8275" w:type="dxa"/>
            <w:tcMar/>
          </w:tcPr>
          <w:p w:rsidR="2176B3DD" w:rsidRDefault="2176B3DD" w14:paraId="0AA7E347" w14:textId="45F1B34A">
            <w:r w:rsidRPr="2176B3DD" w:rsidR="2176B3DD">
              <w:rPr>
                <w:rFonts w:ascii="Arial" w:hAnsi="Arial" w:eastAsia="Arial" w:cs="Arial"/>
                <w:sz w:val="24"/>
                <w:szCs w:val="24"/>
              </w:rPr>
              <w:t>*Target rate used by RMCC for analysis</w:t>
            </w:r>
          </w:p>
        </w:tc>
        <w:tc>
          <w:tcPr>
            <w:tcW w:w="1890" w:type="dxa"/>
            <w:tcMar/>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E278E" w:rsidP="004A6CD5" w:rsidRDefault="00AE278E" w14:paraId="49CCA760" w14:textId="77777777">
      <w:r>
        <w:separator/>
      </w:r>
    </w:p>
  </w:endnote>
  <w:endnote w:type="continuationSeparator" w:id="0">
    <w:p w:rsidR="00AE278E" w:rsidP="004A6CD5" w:rsidRDefault="00AE278E" w14:paraId="2059AFE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E278E" w:rsidP="004A6CD5" w:rsidRDefault="00AE278E" w14:paraId="19E212B5" w14:textId="77777777">
      <w:r>
        <w:separator/>
      </w:r>
    </w:p>
  </w:footnote>
  <w:footnote w:type="continuationSeparator" w:id="0">
    <w:p w:rsidR="00AE278E" w:rsidP="004A6CD5" w:rsidRDefault="00AE278E" w14:paraId="09C0711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283D"/>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278E"/>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C2AFB"/>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2176B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BC0FBE"/>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4986CC75-65DD-46CF-B3AF-8424C2485B53}">
  <ds:schemaRefs>
    <ds:schemaRef ds:uri="http://purl.org/dc/terms/"/>
    <ds:schemaRef ds:uri="http://purl.org/dc/elements/1.1/"/>
    <ds:schemaRef ds:uri="http://purl.org/dc/dcmitype/"/>
    <ds:schemaRef ds:uri="http://schemas.microsoft.com/office/2006/documentManagement/types"/>
    <ds:schemaRef ds:uri="2abb1037-9db3-4746-8742-a797aea7bbf1"/>
    <ds:schemaRef ds:uri="ed196476-3f60-4637-850c-e9cedbd97f92"/>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2D5905C8-9F95-4B38-9ACB-7ACFCCC3937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Fluker, A J</cp:lastModifiedBy>
  <cp:revision>4</cp:revision>
  <cp:lastPrinted>2016-10-27T16:38:00Z</cp:lastPrinted>
  <dcterms:created xsi:type="dcterms:W3CDTF">2023-08-14T18:30:00Z</dcterms:created>
  <dcterms:modified xsi:type="dcterms:W3CDTF">2023-09-21T19:34:55Z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